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94"/>
        <w:gridCol w:w="246"/>
        <w:gridCol w:w="2340"/>
        <w:gridCol w:w="3600"/>
      </w:tblGrid>
      <w:tr w:rsidR="009C259E" w:rsidTr="009C259E">
        <w:tc>
          <w:tcPr>
            <w:tcW w:w="4500" w:type="dxa"/>
            <w:gridSpan w:val="3"/>
          </w:tcPr>
          <w:p w:rsidR="009C259E" w:rsidRDefault="009C259E" w:rsidP="004E4A3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hideMark/>
          </w:tcPr>
          <w:p w:rsidR="009C259E" w:rsidRDefault="009C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9C259E" w:rsidRDefault="009C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9E" w:rsidTr="009C259E">
        <w:trPr>
          <w:cantSplit/>
          <w:trHeight w:val="249"/>
        </w:trPr>
        <w:tc>
          <w:tcPr>
            <w:tcW w:w="360" w:type="dxa"/>
            <w:hideMark/>
          </w:tcPr>
          <w:p w:rsidR="009C259E" w:rsidRDefault="009C25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4" w:type="dxa"/>
          </w:tcPr>
          <w:p w:rsidR="009C259E" w:rsidRDefault="009C259E" w:rsidP="004E4A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" w:type="dxa"/>
            <w:hideMark/>
          </w:tcPr>
          <w:p w:rsidR="009C259E" w:rsidRDefault="009C25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9C259E" w:rsidRDefault="009C2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9C259E" w:rsidRDefault="009C25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312C" w:rsidRDefault="00E0312C" w:rsidP="00E0312C">
      <w:pPr>
        <w:rPr>
          <w:rFonts w:cs="Times New Roman CYR"/>
        </w:rPr>
      </w:pPr>
      <w:r>
        <w:rPr>
          <w:rFonts w:cs="Times New Roman CYR"/>
        </w:rPr>
        <w:t>Зарегистрировано в Минюсте РФ 23 мая 2014 г.</w:t>
      </w:r>
      <w:r>
        <w:rPr>
          <w:rFonts w:cs="Times New Roman CYR"/>
        </w:rPr>
        <w:br/>
        <w:t>Регистрационный № 32408</w:t>
      </w:r>
    </w:p>
    <w:p w:rsidR="00E0312C" w:rsidRDefault="00E0312C" w:rsidP="00E0312C">
      <w:pPr>
        <w:pStyle w:val="1"/>
        <w:spacing w:before="75"/>
        <w:jc w:val="center"/>
        <w:rPr>
          <w:rFonts w:cs="Times New Roman CYR"/>
          <w:b/>
          <w:bCs/>
          <w:u w:val="single"/>
        </w:rPr>
      </w:pPr>
    </w:p>
    <w:p w:rsidR="00E0312C" w:rsidRDefault="00E0312C" w:rsidP="00E0312C">
      <w:pPr>
        <w:pStyle w:val="1"/>
        <w:spacing w:before="75"/>
        <w:jc w:val="center"/>
        <w:rPr>
          <w:rFonts w:cs="Times New Roman CYR"/>
          <w:b/>
          <w:bCs/>
          <w:u w:val="single"/>
        </w:rPr>
      </w:pPr>
      <w:r>
        <w:rPr>
          <w:rFonts w:cs="Times New Roman CYR"/>
          <w:b/>
          <w:bCs/>
          <w:u w:val="single"/>
        </w:rPr>
        <w:t>Приказ Министерства образования и науки РФ от 7 апреля 2014 г. № 276</w:t>
      </w:r>
      <w:r>
        <w:rPr>
          <w:rFonts w:cs="Times New Roman CYR"/>
          <w:b/>
          <w:bCs/>
          <w:u w:val="single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  <w:r>
        <w:rPr>
          <w:rFonts w:cs="Times New Roman CYR"/>
        </w:rPr>
        <w:t>В соответствии с частью 4 статьи 49 Федерального закона от 29 декабря 2012 г. № 273-ФЗ “Об образовании в Российской Федерации”(Собрание законодательства Российской Федерации, 2012, № 53, ст. 7598; 2013, № 19, ст. 2326; № 23, ст. 2878; № 27, ст. 3462; № 30, ст. 4036; № 48, ст. 6165; 2014, № 6, ст. 562, ст. 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582) приказываю:</w:t>
      </w:r>
    </w:p>
    <w:p w:rsidR="00E0312C" w:rsidRDefault="00E0312C" w:rsidP="00E0312C">
      <w:pPr>
        <w:ind w:firstLine="720"/>
        <w:jc w:val="both"/>
        <w:rPr>
          <w:rFonts w:cs="Times New Roman CYR"/>
        </w:rPr>
      </w:pPr>
      <w:r>
        <w:rPr>
          <w:rFonts w:cs="Times New Roman CYR"/>
        </w:rPr>
        <w:t>1.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организаций, осуществляющих образовательную деятельность.</w:t>
      </w:r>
    </w:p>
    <w:p w:rsidR="00E0312C" w:rsidRDefault="00E0312C" w:rsidP="00E0312C">
      <w:pPr>
        <w:ind w:firstLine="720"/>
        <w:jc w:val="both"/>
        <w:rPr>
          <w:rFonts w:cs="Times New Roman CYR"/>
        </w:rPr>
      </w:pPr>
      <w:r>
        <w:rPr>
          <w:rFonts w:cs="Times New Roman CYR"/>
        </w:rP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 Порядка, указанного в пункте 1 настоящего приказа, сохраняются в течение срока, на который они были установлены.</w:t>
      </w:r>
    </w:p>
    <w:p w:rsidR="00E0312C" w:rsidRDefault="00E0312C" w:rsidP="00E0312C">
      <w:pPr>
        <w:ind w:firstLine="720"/>
        <w:jc w:val="both"/>
        <w:rPr>
          <w:rFonts w:cs="Times New Roman CYR"/>
        </w:rPr>
      </w:pPr>
      <w:r>
        <w:rPr>
          <w:rFonts w:cs="Times New Roman CYR"/>
        </w:rPr>
        <w:t xml:space="preserve">3. Признать утратившим силу приказ Министерства образования и науки Российской Федерации от 24 марта 2010 г. № 209 “О Порядке аттестации педагогических работников государственных и муниципальных образовательных </w:t>
      </w:r>
      <w:proofErr w:type="gramStart"/>
      <w:r>
        <w:rPr>
          <w:rFonts w:cs="Times New Roman CYR"/>
        </w:rPr>
        <w:t>учреждений”(</w:t>
      </w:r>
      <w:proofErr w:type="gramEnd"/>
      <w:r>
        <w:rPr>
          <w:rFonts w:cs="Times New Roman CYR"/>
        </w:rPr>
        <w:t>зарегистрирован Министерством юстиции Российской Федерации 26 апреля 2010 г., регистрационный № 16999).</w:t>
      </w: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401"/>
      </w:tblGrid>
      <w:tr w:rsidR="00E0312C" w:rsidTr="00D959B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0312C" w:rsidRDefault="00E0312C" w:rsidP="00D959BB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E0312C" w:rsidRDefault="00E0312C" w:rsidP="00D959BB">
            <w:pPr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Д.В. Ливанов</w:t>
            </w:r>
          </w:p>
        </w:tc>
      </w:tr>
    </w:tbl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90130A" w:rsidRDefault="0090130A" w:rsidP="00E0312C">
      <w:pPr>
        <w:ind w:firstLine="720"/>
        <w:jc w:val="both"/>
        <w:rPr>
          <w:rFonts w:cs="Times New Roman CYR"/>
        </w:rPr>
      </w:pPr>
    </w:p>
    <w:p w:rsidR="0090130A" w:rsidRDefault="0090130A" w:rsidP="00E0312C">
      <w:pPr>
        <w:ind w:firstLine="720"/>
        <w:jc w:val="both"/>
        <w:rPr>
          <w:rFonts w:cs="Times New Roman CYR"/>
        </w:rPr>
      </w:pPr>
    </w:p>
    <w:p w:rsidR="0090130A" w:rsidRDefault="0090130A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0A2D5E" w:rsidRDefault="000A2D5E" w:rsidP="00E0312C">
      <w:pPr>
        <w:ind w:firstLine="720"/>
        <w:jc w:val="both"/>
        <w:rPr>
          <w:rFonts w:cs="Times New Roman CYR"/>
        </w:rPr>
      </w:pPr>
    </w:p>
    <w:p w:rsidR="00E0312C" w:rsidRDefault="00E0312C" w:rsidP="00E0312C">
      <w:pPr>
        <w:ind w:firstLine="720"/>
        <w:jc w:val="both"/>
        <w:rPr>
          <w:rFonts w:cs="Times New Roman CYR"/>
        </w:rPr>
      </w:pPr>
      <w:bookmarkStart w:id="0" w:name="_GoBack"/>
      <w:bookmarkEnd w:id="0"/>
    </w:p>
    <w:sectPr w:rsidR="00E0312C" w:rsidSect="00F419DA">
      <w:pgSz w:w="11906" w:h="16838"/>
      <w:pgMar w:top="567" w:right="567" w:bottom="567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259E"/>
    <w:rsid w:val="00037F13"/>
    <w:rsid w:val="0006101E"/>
    <w:rsid w:val="0007190A"/>
    <w:rsid w:val="00072C1E"/>
    <w:rsid w:val="00073B15"/>
    <w:rsid w:val="00081363"/>
    <w:rsid w:val="000834FB"/>
    <w:rsid w:val="0009095F"/>
    <w:rsid w:val="00091EF3"/>
    <w:rsid w:val="000A2D5E"/>
    <w:rsid w:val="000C5DD0"/>
    <w:rsid w:val="000E214E"/>
    <w:rsid w:val="001171E1"/>
    <w:rsid w:val="001335F7"/>
    <w:rsid w:val="00135C1B"/>
    <w:rsid w:val="0017447F"/>
    <w:rsid w:val="00181FC6"/>
    <w:rsid w:val="001857EF"/>
    <w:rsid w:val="001C33C2"/>
    <w:rsid w:val="001D4B0B"/>
    <w:rsid w:val="00203D16"/>
    <w:rsid w:val="00211546"/>
    <w:rsid w:val="002246B5"/>
    <w:rsid w:val="00243C0B"/>
    <w:rsid w:val="002D1693"/>
    <w:rsid w:val="002E56E4"/>
    <w:rsid w:val="002E69F8"/>
    <w:rsid w:val="00302495"/>
    <w:rsid w:val="003026C5"/>
    <w:rsid w:val="00336FEF"/>
    <w:rsid w:val="00341969"/>
    <w:rsid w:val="00374761"/>
    <w:rsid w:val="00385D95"/>
    <w:rsid w:val="003D1FD8"/>
    <w:rsid w:val="003E74BC"/>
    <w:rsid w:val="003F0379"/>
    <w:rsid w:val="0040161B"/>
    <w:rsid w:val="00411E1D"/>
    <w:rsid w:val="00415102"/>
    <w:rsid w:val="0044495A"/>
    <w:rsid w:val="00450947"/>
    <w:rsid w:val="00461C07"/>
    <w:rsid w:val="00472BC9"/>
    <w:rsid w:val="004750F8"/>
    <w:rsid w:val="004B043C"/>
    <w:rsid w:val="004C027A"/>
    <w:rsid w:val="004E4A33"/>
    <w:rsid w:val="004F36F0"/>
    <w:rsid w:val="00513F4F"/>
    <w:rsid w:val="00516075"/>
    <w:rsid w:val="00563EE4"/>
    <w:rsid w:val="00583250"/>
    <w:rsid w:val="005C451E"/>
    <w:rsid w:val="005E3704"/>
    <w:rsid w:val="00602376"/>
    <w:rsid w:val="00635C98"/>
    <w:rsid w:val="00645978"/>
    <w:rsid w:val="006635C9"/>
    <w:rsid w:val="0067362A"/>
    <w:rsid w:val="006D0397"/>
    <w:rsid w:val="006D73A4"/>
    <w:rsid w:val="006E2ACF"/>
    <w:rsid w:val="006E62F3"/>
    <w:rsid w:val="00740487"/>
    <w:rsid w:val="00755650"/>
    <w:rsid w:val="00756667"/>
    <w:rsid w:val="00772146"/>
    <w:rsid w:val="007802AB"/>
    <w:rsid w:val="00792DA6"/>
    <w:rsid w:val="007A4F81"/>
    <w:rsid w:val="00810957"/>
    <w:rsid w:val="0081178C"/>
    <w:rsid w:val="00824FAA"/>
    <w:rsid w:val="008308D0"/>
    <w:rsid w:val="00843AD0"/>
    <w:rsid w:val="008873F2"/>
    <w:rsid w:val="008A761A"/>
    <w:rsid w:val="008E5032"/>
    <w:rsid w:val="008E6CFB"/>
    <w:rsid w:val="008F113F"/>
    <w:rsid w:val="008F6C7C"/>
    <w:rsid w:val="0090130A"/>
    <w:rsid w:val="0092251D"/>
    <w:rsid w:val="00922930"/>
    <w:rsid w:val="009412C9"/>
    <w:rsid w:val="00966F7F"/>
    <w:rsid w:val="00970A7F"/>
    <w:rsid w:val="00986991"/>
    <w:rsid w:val="009C259E"/>
    <w:rsid w:val="00A15DDE"/>
    <w:rsid w:val="00A257A4"/>
    <w:rsid w:val="00A2743B"/>
    <w:rsid w:val="00A326E4"/>
    <w:rsid w:val="00A33458"/>
    <w:rsid w:val="00A8540B"/>
    <w:rsid w:val="00A93188"/>
    <w:rsid w:val="00AA31C5"/>
    <w:rsid w:val="00AC1FB7"/>
    <w:rsid w:val="00AF3E3C"/>
    <w:rsid w:val="00AF6A86"/>
    <w:rsid w:val="00AF7224"/>
    <w:rsid w:val="00B048B2"/>
    <w:rsid w:val="00B123A5"/>
    <w:rsid w:val="00B21086"/>
    <w:rsid w:val="00B4502B"/>
    <w:rsid w:val="00B504A0"/>
    <w:rsid w:val="00B602E3"/>
    <w:rsid w:val="00BB28C8"/>
    <w:rsid w:val="00C00E3C"/>
    <w:rsid w:val="00C05E5D"/>
    <w:rsid w:val="00C15020"/>
    <w:rsid w:val="00C1700F"/>
    <w:rsid w:val="00C435E7"/>
    <w:rsid w:val="00C63AF9"/>
    <w:rsid w:val="00C74C69"/>
    <w:rsid w:val="00CD490F"/>
    <w:rsid w:val="00D22897"/>
    <w:rsid w:val="00D47B69"/>
    <w:rsid w:val="00D53807"/>
    <w:rsid w:val="00D66A33"/>
    <w:rsid w:val="00D70B22"/>
    <w:rsid w:val="00D86648"/>
    <w:rsid w:val="00DB3A1B"/>
    <w:rsid w:val="00DC26C7"/>
    <w:rsid w:val="00DC7318"/>
    <w:rsid w:val="00DE751A"/>
    <w:rsid w:val="00E0312C"/>
    <w:rsid w:val="00E31A23"/>
    <w:rsid w:val="00E32636"/>
    <w:rsid w:val="00E4596A"/>
    <w:rsid w:val="00E46C39"/>
    <w:rsid w:val="00E71A75"/>
    <w:rsid w:val="00E97FB0"/>
    <w:rsid w:val="00ED59D9"/>
    <w:rsid w:val="00EF32FD"/>
    <w:rsid w:val="00F1684A"/>
    <w:rsid w:val="00F37865"/>
    <w:rsid w:val="00F419DA"/>
    <w:rsid w:val="00F55D54"/>
    <w:rsid w:val="00F56418"/>
    <w:rsid w:val="00F83CB7"/>
    <w:rsid w:val="00F868EF"/>
    <w:rsid w:val="00FA65C4"/>
    <w:rsid w:val="00FB7238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FF95A-A046-4BB3-A769-B3F5811D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312C"/>
    <w:pPr>
      <w:outlineLvl w:val="0"/>
    </w:pPr>
    <w:rPr>
      <w:rFonts w:ascii="Times New Roman CYR" w:eastAsiaTheme="minorEastAsia" w:hAnsi="Times New Roman CYR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312C"/>
    <w:rPr>
      <w:rFonts w:ascii="Times New Roman CYR" w:eastAsiaTheme="minorEastAsia" w:hAnsi="Times New Roman CYR" w:cstheme="minorBidi"/>
      <w:sz w:val="24"/>
      <w:szCs w:val="24"/>
      <w:lang w:eastAsia="ru-RU"/>
    </w:rPr>
  </w:style>
  <w:style w:type="paragraph" w:customStyle="1" w:styleId="ConsPlusNormal">
    <w:name w:val="ConsPlusNormal"/>
    <w:rsid w:val="0090130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130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9013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9013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E3F3-FB0D-4A5C-B28E-C01427BE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25</cp:revision>
  <cp:lastPrinted>2014-08-21T03:04:00Z</cp:lastPrinted>
  <dcterms:created xsi:type="dcterms:W3CDTF">2014-08-15T05:55:00Z</dcterms:created>
  <dcterms:modified xsi:type="dcterms:W3CDTF">2014-08-30T11:57:00Z</dcterms:modified>
</cp:coreProperties>
</file>